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Erwerb und Stilllegung von Emissionsminderungsgutschriften nach den Regeln zu Artikel 6, Par. 4 ÜvP aus besonders qualifizierten Klimaschutzprojekten zur betrieblichen Treibhausgaskompensation der GIZ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48018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